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06FB" w:rsidR="00CD0127" w:rsidP="002A2E42" w:rsidRDefault="00875276" w14:paraId="5983DBE0" w14:textId="32436D95">
      <w:pPr>
        <w:adjustRightInd w:val="0"/>
        <w:snapToGrid w:val="0"/>
        <w:spacing w:before="60" w:after="0" w:line="264" w:lineRule="auto"/>
        <w:jc w:val="center"/>
        <w:rPr>
          <w:rFonts w:ascii="DFKai-SB" w:hAnsi="DFKai-SB" w:eastAsia="DFKai-SB" w:cs="Times New Roman"/>
          <w:b/>
          <w:sz w:val="30"/>
          <w:szCs w:val="30"/>
          <w:lang w:eastAsia="zh-CN"/>
        </w:rPr>
      </w:pPr>
      <w:bookmarkStart w:name="_GoBack" w:id="0"/>
      <w:bookmarkEnd w:id="0"/>
      <w:r w:rsidRPr="001C06FB">
        <w:rPr>
          <w:rFonts w:hint="eastAsia" w:ascii="DFKai-SB" w:hAnsi="DFKai-SB" w:eastAsia="DFKai-SB"/>
          <w:b/>
          <w:sz w:val="30"/>
          <w:szCs w:val="30"/>
          <w:lang w:eastAsia="zh-CN"/>
        </w:rPr>
        <w:t>中国旅游教育</w:t>
      </w:r>
      <w:r w:rsidRPr="001C06FB" w:rsidR="009B1F0E">
        <w:rPr>
          <w:rFonts w:hint="eastAsia" w:ascii="DFKai-SB" w:hAnsi="DFKai-SB" w:eastAsia="DFKai-SB"/>
          <w:b/>
          <w:sz w:val="30"/>
          <w:szCs w:val="30"/>
          <w:lang w:eastAsia="zh-HK"/>
        </w:rPr>
        <w:t>合作</w:t>
      </w:r>
      <w:r w:rsidRPr="001C06FB">
        <w:rPr>
          <w:rFonts w:hint="eastAsia" w:ascii="DFKai-SB" w:hAnsi="DFKai-SB" w:eastAsia="DFKai-SB" w:cs="Times New Roman"/>
          <w:b/>
          <w:sz w:val="30"/>
          <w:szCs w:val="30"/>
          <w:lang w:eastAsia="zh-CN"/>
        </w:rPr>
        <w:t>联盟章程</w:t>
      </w:r>
    </w:p>
    <w:p w:rsidRPr="001C06FB" w:rsidR="00931DDD" w:rsidP="002A2E42" w:rsidRDefault="00931DDD" w14:paraId="4B192E60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4"/>
          <w:szCs w:val="24"/>
          <w:lang w:val="pt-PT" w:eastAsia="zh-CN"/>
        </w:rPr>
      </w:pPr>
    </w:p>
    <w:p w:rsidRPr="001C06FB" w:rsidR="00CD0127" w:rsidP="00DE404A" w:rsidRDefault="00875276" w14:paraId="660D5281" w14:textId="48CDF8F7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总则</w:t>
      </w:r>
    </w:p>
    <w:p w:rsidRPr="001C06FB" w:rsidR="00CD0127" w:rsidP="002A2E42" w:rsidRDefault="00CD0127" w14:paraId="282316C0" w14:textId="77777777">
      <w:pPr>
        <w:pStyle w:val="ListParagraph"/>
        <w:adjustRightInd w:val="0"/>
        <w:snapToGrid w:val="0"/>
        <w:spacing w:before="60" w:after="0" w:line="264" w:lineRule="auto"/>
        <w:ind w:left="1080"/>
        <w:contextualSpacing w:val="0"/>
        <w:rPr>
          <w:rFonts w:ascii="DFKai-SB" w:hAnsi="DFKai-SB" w:eastAsia="DFKai-SB" w:cs="Times New Roman"/>
          <w:b/>
          <w:sz w:val="26"/>
          <w:szCs w:val="26"/>
        </w:rPr>
      </w:pPr>
    </w:p>
    <w:p w:rsidRPr="001C06FB" w:rsidR="00CD0127" w:rsidP="001B446D" w:rsidRDefault="00875276" w14:paraId="652C8F33" w14:textId="27533764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联盟名称</w:t>
      </w:r>
    </w:p>
    <w:p w:rsidRPr="001C06FB" w:rsidR="009226D9" w:rsidP="002F2297" w:rsidRDefault="00875276" w14:paraId="6F2DCC17" w14:textId="4239A55B">
      <w:pPr>
        <w:pStyle w:val="ListParagraph"/>
        <w:adjustRightInd w:val="0"/>
        <w:snapToGrid w:val="0"/>
        <w:spacing w:before="60" w:after="0" w:line="264" w:lineRule="auto"/>
        <w:ind w:left="0"/>
        <w:contextualSpacing w:val="0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中文名称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 xml:space="preserve">: 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中国旅游教育</w:t>
      </w:r>
      <w:r w:rsidRPr="001C06FB" w:rsidR="009B1F0E">
        <w:rPr>
          <w:rFonts w:hint="eastAsia" w:ascii="DFKai-SB" w:hAnsi="DFKai-SB" w:eastAsia="DFKai-SB" w:cs="Times New Roman"/>
          <w:sz w:val="26"/>
          <w:szCs w:val="26"/>
          <w:lang w:eastAsia="zh-HK"/>
        </w:rPr>
        <w:t>合作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 xml:space="preserve"> (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简称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>“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>”)</w:t>
      </w:r>
    </w:p>
    <w:p w:rsidRPr="001C06FB" w:rsidR="00CD0127" w:rsidP="002F2297" w:rsidRDefault="00875276" w14:paraId="080E586E" w14:textId="124E5C57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HK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英文名称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 xml:space="preserve">: </w:t>
      </w:r>
      <w:r w:rsidRPr="002A0E89" w:rsidR="00CA095E">
        <w:rPr>
          <w:rFonts w:ascii="Times New Roman" w:hAnsi="Times New Roman" w:eastAsia="DFKai-SB" w:cs="Times New Roman"/>
          <w:sz w:val="26"/>
          <w:szCs w:val="26"/>
          <w:lang w:eastAsia="zh-CN"/>
        </w:rPr>
        <w:t>China Tourism Education Alliance (C</w:t>
      </w:r>
      <w:r w:rsidRPr="002A0E89" w:rsidR="00972AC6">
        <w:rPr>
          <w:rFonts w:ascii="Times New Roman" w:hAnsi="Times New Roman" w:eastAsia="DFKai-SB" w:cs="Times New Roman"/>
          <w:sz w:val="26"/>
          <w:szCs w:val="26"/>
          <w:lang w:eastAsia="zh-CN"/>
        </w:rPr>
        <w:t>TEA)</w:t>
      </w:r>
    </w:p>
    <w:p w:rsidRPr="001C06FB" w:rsidR="00CD0127" w:rsidP="002A2E42" w:rsidRDefault="00CD0127" w14:paraId="296320B2" w14:textId="77777777">
      <w:pPr>
        <w:pStyle w:val="ListParagraph"/>
        <w:tabs>
          <w:tab w:val="left" w:pos="810"/>
        </w:tabs>
        <w:adjustRightInd w:val="0"/>
        <w:snapToGrid w:val="0"/>
        <w:spacing w:before="60" w:after="0" w:line="264" w:lineRule="auto"/>
        <w:contextualSpacing w:val="0"/>
        <w:rPr>
          <w:rFonts w:ascii="DFKai-SB" w:hAnsi="DFKai-SB" w:eastAsia="DFKai-SB" w:cs="Times New Roman"/>
          <w:sz w:val="26"/>
          <w:szCs w:val="26"/>
          <w:lang w:val="pt-PT"/>
        </w:rPr>
      </w:pPr>
    </w:p>
    <w:p w:rsidRPr="001C06FB" w:rsidR="00CD0127" w:rsidP="001B446D" w:rsidRDefault="00875276" w14:paraId="5AEA10FF" w14:textId="7B1E6392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联盟宗旨</w:t>
      </w:r>
    </w:p>
    <w:p w:rsidRPr="001C06FB" w:rsidR="00674600" w:rsidP="00743B7A" w:rsidRDefault="00875276" w14:paraId="39ED5AC5" w14:textId="5900F14B">
      <w:pPr>
        <w:pStyle w:val="ListParagraph"/>
        <w:adjustRightInd w:val="0"/>
        <w:snapToGrid w:val="0"/>
        <w:spacing w:before="60" w:after="0" w:line="264" w:lineRule="auto"/>
        <w:ind w:left="0"/>
        <w:contextualSpacing w:val="0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联盟以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汇集中国精英高校在旅游管理领域的教学科研优势</w:t>
      </w:r>
      <w:r w:rsidRPr="001C06FB">
        <w:rPr>
          <w:rFonts w:hint="eastAsia" w:ascii="DFKai-SB" w:hAnsi="DFKai-SB" w:eastAsia="DFKai-SB"/>
          <w:sz w:val="26"/>
          <w:szCs w:val="26"/>
          <w:lang w:val="pt-PT" w:eastAsia="zh-CN"/>
        </w:rPr>
        <w:t>，共同推动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高素质旅游专业人才培养为宗旨</w:t>
      </w:r>
      <w:r w:rsidRPr="001C06FB">
        <w:rPr>
          <w:rFonts w:hint="eastAsia" w:ascii="DFKai-SB" w:hAnsi="DFKai-SB" w:eastAsia="DFKai-SB"/>
          <w:sz w:val="26"/>
          <w:szCs w:val="26"/>
          <w:lang w:val="en-GB" w:eastAsia="zh-CN"/>
        </w:rPr>
        <w:t>，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致力提升旅游</w:t>
      </w:r>
      <w:r w:rsidRPr="001C06FB" w:rsidR="006C0CEA">
        <w:rPr>
          <w:rFonts w:hint="eastAsia" w:ascii="DFKai-SB" w:hAnsi="DFKai-SB" w:eastAsia="DFKai-SB"/>
          <w:sz w:val="26"/>
          <w:szCs w:val="26"/>
          <w:lang w:eastAsia="zh-CN"/>
        </w:rPr>
        <w:t>管理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专业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的区域合作层次和水平，促进资源共享共建、人才培养、科研合作、协同创新和社会服务等方面的拓深合作。</w:t>
      </w:r>
    </w:p>
    <w:p w:rsidRPr="001C06FB" w:rsidR="001B446D" w:rsidP="002A2E42" w:rsidRDefault="001B446D" w14:paraId="03420899" w14:textId="77777777">
      <w:pPr>
        <w:pStyle w:val="ListParagraph"/>
        <w:adjustRightInd w:val="0"/>
        <w:snapToGrid w:val="0"/>
        <w:spacing w:before="60" w:after="0" w:line="264" w:lineRule="auto"/>
        <w:ind w:left="360"/>
        <w:contextualSpacing w:val="0"/>
        <w:rPr>
          <w:rFonts w:ascii="DFKai-SB" w:hAnsi="DFKai-SB" w:eastAsia="DFKai-SB" w:cs="Times New Roman"/>
          <w:sz w:val="26"/>
          <w:szCs w:val="26"/>
          <w:lang w:val="pt-PT" w:eastAsia="zh-CN"/>
        </w:rPr>
      </w:pPr>
    </w:p>
    <w:p w:rsidRPr="001C06FB" w:rsidR="00CD0127" w:rsidP="001B446D" w:rsidRDefault="00875276" w14:paraId="2099D9EE" w14:textId="03383E08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联盟性质</w:t>
      </w:r>
    </w:p>
    <w:p w:rsidRPr="001C06FB" w:rsidR="0019096B" w:rsidP="00C72ECB" w:rsidRDefault="00875276" w14:paraId="1F0A5AD2" w14:textId="1435B193">
      <w:pPr>
        <w:pStyle w:val="ListParagraph"/>
        <w:adjustRightInd w:val="0"/>
        <w:snapToGrid w:val="0"/>
        <w:spacing w:before="60" w:after="0" w:line="264" w:lineRule="auto"/>
        <w:ind w:left="0"/>
        <w:contextualSpacing w:val="0"/>
        <w:jc w:val="both"/>
        <w:rPr>
          <w:rFonts w:ascii="DFKai-SB" w:hAnsi="DFKai-SB" w:eastAsia="DFKai-SB" w:cs="Times New Roman"/>
          <w:b/>
          <w:sz w:val="26"/>
          <w:szCs w:val="26"/>
          <w:lang w:val="pt-PT" w:eastAsia="zh-HK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联盟是澳门大学、</w:t>
      </w:r>
      <w:r w:rsidRPr="001C06FB" w:rsidR="006C0CEA">
        <w:rPr>
          <w:rFonts w:hint="eastAsia" w:ascii="DFKai-SB" w:hAnsi="DFKai-SB" w:eastAsia="DFKai-SB"/>
          <w:sz w:val="26"/>
          <w:szCs w:val="26"/>
          <w:lang w:eastAsia="zh-CN"/>
        </w:rPr>
        <w:t>复旦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大学、</w:t>
      </w:r>
      <w:r w:rsidRPr="001C06FB" w:rsidR="006C0CEA">
        <w:rPr>
          <w:rFonts w:hint="eastAsia" w:ascii="DFKai-SB" w:hAnsi="DFKai-SB" w:eastAsia="DFKai-SB"/>
          <w:sz w:val="26"/>
          <w:szCs w:val="26"/>
          <w:lang w:eastAsia="zh-CN"/>
        </w:rPr>
        <w:t>南开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大学和</w:t>
      </w:r>
      <w:r w:rsidRPr="001C06FB" w:rsidR="006C0CEA">
        <w:rPr>
          <w:rFonts w:hint="eastAsia" w:ascii="DFKai-SB" w:hAnsi="DFKai-SB" w:eastAsia="DFKai-SB"/>
          <w:sz w:val="26"/>
          <w:szCs w:val="26"/>
          <w:lang w:eastAsia="zh-CN"/>
        </w:rPr>
        <w:t>中山</w:t>
      </w: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大学</w:t>
      </w:r>
      <w:r w:rsidRPr="001C06FB" w:rsidR="00706176">
        <w:rPr>
          <w:rFonts w:hint="eastAsia" w:ascii="DFKai-SB" w:hAnsi="DFKai-SB" w:eastAsia="DFKai-SB"/>
          <w:sz w:val="26"/>
          <w:szCs w:val="26"/>
          <w:lang w:eastAsia="zh-CN"/>
        </w:rPr>
        <w:t>（</w:t>
      </w:r>
      <w:r w:rsidRPr="001C06FB" w:rsidR="008355D3">
        <w:rPr>
          <w:rFonts w:hint="eastAsia" w:ascii="DFKai-SB" w:hAnsi="DFKai-SB" w:eastAsia="DFKai-SB"/>
          <w:sz w:val="26"/>
          <w:szCs w:val="26"/>
          <w:lang w:eastAsia="zh-CN"/>
        </w:rPr>
        <w:t>按校名拼音排序</w:t>
      </w:r>
      <w:r w:rsidRPr="001C06FB" w:rsidR="00E37717">
        <w:rPr>
          <w:rFonts w:hint="eastAsia" w:ascii="DFKai-SB" w:hAnsi="DFKai-SB" w:eastAsia="DFKai-SB"/>
          <w:sz w:val="26"/>
          <w:szCs w:val="26"/>
          <w:lang w:eastAsia="zh-CN"/>
        </w:rPr>
        <w:t>)</w:t>
      </w:r>
      <w:r w:rsidRPr="001C06FB" w:rsidR="00E37717">
        <w:rPr>
          <w:rFonts w:ascii="DFKai-SB" w:hAnsi="DFKai-SB" w:eastAsia="DFKai-SB"/>
          <w:sz w:val="26"/>
          <w:szCs w:val="26"/>
          <w:lang w:eastAsia="zh-CN"/>
        </w:rPr>
        <w:t xml:space="preserve"> 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共同倡议并发起（简称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>“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发起单位</w:t>
      </w:r>
      <w:r w:rsidRPr="001C06FB">
        <w:rPr>
          <w:rFonts w:ascii="DFKai-SB" w:hAnsi="DFKai-SB" w:eastAsia="DFKai-SB" w:cs="Times New Roman"/>
          <w:sz w:val="26"/>
          <w:szCs w:val="26"/>
          <w:lang w:eastAsia="zh-CN"/>
        </w:rPr>
        <w:t>”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），由中国的高校等组织自愿组成的非营利合作联盟。联盟不是独立法人，不承担成员单位、及其相互间合作与成果的连带法律责任。</w:t>
      </w:r>
    </w:p>
    <w:p w:rsidRPr="001C06FB" w:rsidR="00931DDD" w:rsidP="002A2E42" w:rsidRDefault="00931DDD" w14:paraId="400CEE27" w14:textId="77777777">
      <w:pPr>
        <w:adjustRightInd w:val="0"/>
        <w:snapToGrid w:val="0"/>
        <w:spacing w:before="60" w:after="0" w:line="264" w:lineRule="auto"/>
        <w:jc w:val="center"/>
        <w:rPr>
          <w:rFonts w:ascii="DFKai-SB" w:hAnsi="DFKai-SB" w:eastAsia="DFKai-SB" w:cs="Times New Roman"/>
          <w:b/>
          <w:sz w:val="26"/>
          <w:szCs w:val="26"/>
          <w:lang w:val="pt-PT" w:eastAsia="zh-HK"/>
        </w:rPr>
      </w:pPr>
    </w:p>
    <w:p w:rsidRPr="001C06FB" w:rsidR="009F4AF8" w:rsidP="002A2E42" w:rsidRDefault="00875276" w14:paraId="12E40B87" w14:textId="0E3AE886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运行机制</w:t>
      </w:r>
    </w:p>
    <w:p w:rsidRPr="001C06FB" w:rsidR="00B72D5C" w:rsidP="002A2E42" w:rsidRDefault="00B72D5C" w14:paraId="3DA570CD" w14:textId="1EFB89F6">
      <w:pPr>
        <w:adjustRightInd w:val="0"/>
        <w:snapToGrid w:val="0"/>
        <w:spacing w:before="60" w:after="0" w:line="264" w:lineRule="auto"/>
        <w:jc w:val="center"/>
        <w:rPr>
          <w:rFonts w:ascii="DFKai-SB" w:hAnsi="DFKai-SB" w:eastAsia="DFKai-SB" w:cs="Times New Roman"/>
          <w:b/>
          <w:sz w:val="26"/>
          <w:szCs w:val="26"/>
          <w:lang w:eastAsia="zh-HK"/>
        </w:rPr>
      </w:pPr>
    </w:p>
    <w:p w:rsidRPr="001C06FB" w:rsidR="008F302A" w:rsidP="001B446D" w:rsidRDefault="00875276" w14:paraId="519AE859" w14:textId="13EECED2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理事会</w:t>
      </w:r>
    </w:p>
    <w:p w:rsidRPr="001C06FB" w:rsidR="005B7A81" w:rsidP="002A2E42" w:rsidRDefault="00875276" w14:paraId="679F832C" w14:textId="40BA45F9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联盟设立理事会，为联盟最高权力及决策机构。理事会成员原则上不超过十五人，包括常任理事成员和非常任理事成员。常任理事成员由联盟发起单位（澳门大学、</w:t>
      </w:r>
      <w:r w:rsidRPr="001C06FB" w:rsidR="006C0CEA">
        <w:rPr>
          <w:rFonts w:hint="eastAsia" w:ascii="DFKai-SB" w:hAnsi="DFKai-SB" w:eastAsia="DFKai-SB" w:cs="Times New Roman"/>
          <w:sz w:val="26"/>
          <w:szCs w:val="26"/>
          <w:lang w:eastAsia="zh-CN"/>
        </w:rPr>
        <w:t>复旦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大学、</w:t>
      </w:r>
      <w:r w:rsidRPr="001C06FB" w:rsidR="006C0CEA">
        <w:rPr>
          <w:rFonts w:hint="eastAsia" w:ascii="DFKai-SB" w:hAnsi="DFKai-SB" w:eastAsia="DFKai-SB" w:cs="Times New Roman"/>
          <w:sz w:val="26"/>
          <w:szCs w:val="26"/>
          <w:lang w:eastAsia="zh-CN"/>
        </w:rPr>
        <w:t>南开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大学、</w:t>
      </w:r>
      <w:r w:rsidRPr="001C06FB" w:rsidR="006C0CEA">
        <w:rPr>
          <w:rFonts w:hint="eastAsia" w:ascii="DFKai-SB" w:hAnsi="DFKai-SB" w:eastAsia="DFKai-SB" w:cs="Times New Roman"/>
          <w:sz w:val="26"/>
          <w:szCs w:val="26"/>
          <w:lang w:eastAsia="zh-CN"/>
        </w:rPr>
        <w:t>中山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</w:t>
      </w:r>
      <w:r w:rsidRPr="001C06FB">
        <w:rPr>
          <w:rFonts w:hint="eastAsia" w:ascii="DFKai-SB" w:hAnsi="DFKai-SB" w:eastAsia="DFKai-SB"/>
          <w:sz w:val="28"/>
          <w:szCs w:val="28"/>
          <w:lang w:eastAsia="zh-CN"/>
        </w:rPr>
        <w:t>）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担任；非常任理事成员由联盟成员自荐或推荐，联盟选举产生。理事会设理事长一名，副理事长两至三名，由理事会成员自荐或推荐，理事会选举产生，任期三年，可连选连任。理事会主要负责制定联盟的发展规划、审定联盟的工作计划、商议新成员加入及联盟其他重大事项。理事会每年至少召开一次会议，理事长可召集临时会议。理事会决议由出席理事会会议的理事表决，必须超过半数成员表决同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lastRenderedPageBreak/>
        <w:t>意后方可生效。首届理事长由澳门大学担任，首届副理事长由</w:t>
      </w:r>
      <w:r w:rsidRPr="001C06FB" w:rsidR="00706176">
        <w:rPr>
          <w:rFonts w:hint="eastAsia" w:ascii="DFKai-SB" w:hAnsi="DFKai-SB" w:eastAsia="DFKai-SB" w:cs="Times New Roman"/>
          <w:sz w:val="26"/>
          <w:szCs w:val="26"/>
          <w:lang w:eastAsia="zh-CN"/>
        </w:rPr>
        <w:t>复旦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大学、</w:t>
      </w:r>
      <w:r w:rsidRPr="001C06FB" w:rsidR="00706176">
        <w:rPr>
          <w:rFonts w:hint="eastAsia" w:ascii="DFKai-SB" w:hAnsi="DFKai-SB" w:eastAsia="DFKai-SB" w:cs="Times New Roman"/>
          <w:sz w:val="26"/>
          <w:szCs w:val="26"/>
          <w:lang w:eastAsia="zh-CN"/>
        </w:rPr>
        <w:t>南开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大学、</w:t>
      </w:r>
      <w:r w:rsidRPr="001C06FB" w:rsidR="00706176">
        <w:rPr>
          <w:rFonts w:hint="eastAsia" w:ascii="DFKai-SB" w:hAnsi="DFKai-SB" w:eastAsia="DFKai-SB" w:cs="Times New Roman"/>
          <w:sz w:val="26"/>
          <w:szCs w:val="26"/>
          <w:lang w:eastAsia="zh-CN"/>
        </w:rPr>
        <w:t>中山</w:t>
      </w: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大学担任。</w:t>
      </w:r>
    </w:p>
    <w:p w:rsidRPr="001C06FB" w:rsidR="00CC375B" w:rsidP="002E283D" w:rsidRDefault="00CC375B" w14:paraId="70657563" w14:textId="77777777">
      <w:pPr>
        <w:pStyle w:val="ListParagraph"/>
        <w:adjustRightInd w:val="0"/>
        <w:snapToGrid w:val="0"/>
        <w:spacing w:before="60" w:after="0" w:line="264" w:lineRule="auto"/>
        <w:ind w:left="0"/>
        <w:contextualSpacing w:val="0"/>
        <w:jc w:val="both"/>
        <w:rPr>
          <w:rFonts w:ascii="DFKai-SB" w:hAnsi="DFKai-SB" w:eastAsia="DFKai-SB" w:cs="Times New Roman"/>
          <w:sz w:val="26"/>
          <w:szCs w:val="26"/>
          <w:lang w:val="pt-PT" w:eastAsia="zh-CN"/>
        </w:rPr>
      </w:pPr>
    </w:p>
    <w:p w:rsidRPr="001C06FB" w:rsidR="008F302A" w:rsidP="001B446D" w:rsidRDefault="00875276" w14:paraId="2F3818A0" w14:textId="4755EB4E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秘书处</w:t>
      </w:r>
    </w:p>
    <w:p w:rsidRPr="001C06FB" w:rsidR="00A05374" w:rsidP="002A2E42" w:rsidRDefault="00875276" w14:paraId="4F0429D0" w14:textId="3DBC2806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理事会下设秘书处，设于当届理事长所在之单位，为联盟日常办事机构。秘书处具体负责联盟的各项日常事务，包括联盟年度工作计划的制定和实施、联盟成员的日常联络、联盟的文书，财务和档案工作等。</w:t>
      </w:r>
    </w:p>
    <w:p w:rsidRPr="001C06FB" w:rsidR="00505F42" w:rsidP="002A2E42" w:rsidRDefault="00505F42" w14:paraId="0ACB474C" w14:textId="77777777">
      <w:pPr>
        <w:adjustRightInd w:val="0"/>
        <w:snapToGrid w:val="0"/>
        <w:spacing w:before="60" w:after="0" w:line="264" w:lineRule="auto"/>
        <w:ind w:firstLine="63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5F7AF9" w:rsidP="001B446D" w:rsidRDefault="00875276" w14:paraId="0AE2266B" w14:textId="30857F62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会议制度</w:t>
      </w:r>
    </w:p>
    <w:p w:rsidRPr="001C06FB" w:rsidR="001E3C06" w:rsidP="002A2E42" w:rsidRDefault="00875276" w14:paraId="38698BAF" w14:textId="6FF4A028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联盟实行联席会议制度，每年定期组织召开联席会议，与联盟理事会同期举行，商讨联盟合作及发展的重大事宜。</w:t>
      </w:r>
    </w:p>
    <w:p w:rsidRPr="001C06FB" w:rsidR="00620892" w:rsidP="002A2E42" w:rsidRDefault="00620892" w14:paraId="730C4A4D" w14:textId="77777777">
      <w:pPr>
        <w:adjustRightInd w:val="0"/>
        <w:snapToGrid w:val="0"/>
        <w:spacing w:before="60" w:after="0" w:line="264" w:lineRule="auto"/>
        <w:ind w:firstLine="54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1E3C06" w:rsidP="001B446D" w:rsidRDefault="00875276" w14:paraId="44208108" w14:textId="20A20A54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交流机制</w:t>
      </w:r>
    </w:p>
    <w:p w:rsidRPr="001C06FB" w:rsidR="008270EF" w:rsidP="002A2E42" w:rsidRDefault="00875276" w14:paraId="2E02DC2F" w14:textId="4A266F8C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联盟建立专门事务交流机制，联盟成员的学生交流及科研合作交流等事务的负责人通过召开会议、网络电话及电邮等方式定期进行交流，以落实各项合作事宜。</w:t>
      </w:r>
    </w:p>
    <w:p w:rsidRPr="001C06FB" w:rsidR="00505F42" w:rsidP="002A2E42" w:rsidRDefault="00505F42" w14:paraId="0391D2CA" w14:textId="77777777">
      <w:pPr>
        <w:adjustRightInd w:val="0"/>
        <w:snapToGrid w:val="0"/>
        <w:spacing w:before="60" w:after="0" w:line="264" w:lineRule="auto"/>
        <w:ind w:firstLine="54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A52BE1" w:rsidP="001B446D" w:rsidRDefault="00875276" w14:paraId="4D94A4A2" w14:textId="682BCB9D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运作经费</w:t>
      </w:r>
    </w:p>
    <w:p w:rsidRPr="001C06FB" w:rsidR="003D6B71" w:rsidP="002A2E42" w:rsidRDefault="00875276" w14:paraId="456838A1" w14:textId="148E9BEE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HK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联盟的运作经费及其他相关费用由各联盟成员共同承担或商定分担。联盟的经费使用严格按照成员所属当地政府相关规定执行，经费运作细则由联盟理事会商议制定。</w:t>
      </w:r>
    </w:p>
    <w:p w:rsidRPr="001C06FB" w:rsidR="001B446D" w:rsidP="002A2E42" w:rsidRDefault="001B446D" w14:paraId="17508F5B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9540A0" w:rsidP="002A2E42" w:rsidRDefault="00875276" w14:paraId="483B50C3" w14:textId="6520652C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合作内容</w:t>
      </w:r>
    </w:p>
    <w:p w:rsidRPr="001C06FB" w:rsidR="00C72ECB" w:rsidP="00C72ECB" w:rsidRDefault="00C72ECB" w14:paraId="07FC11FF" w14:textId="77777777">
      <w:pPr>
        <w:pStyle w:val="ListParagraph"/>
        <w:adjustRightInd w:val="0"/>
        <w:snapToGrid w:val="0"/>
        <w:spacing w:before="60" w:after="0" w:line="264" w:lineRule="auto"/>
        <w:ind w:left="1080"/>
        <w:contextualSpacing w:val="0"/>
        <w:rPr>
          <w:rFonts w:ascii="DFKai-SB" w:hAnsi="DFKai-SB" w:eastAsia="DFKai-SB" w:cs="Times New Roman"/>
          <w:b/>
          <w:sz w:val="26"/>
          <w:szCs w:val="26"/>
        </w:rPr>
      </w:pPr>
    </w:p>
    <w:p w:rsidRPr="001C06FB" w:rsidR="00760BBF" w:rsidP="001B446D" w:rsidRDefault="00875276" w14:paraId="26962FF1" w14:textId="009283DD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合作领域</w:t>
      </w:r>
    </w:p>
    <w:p w:rsidRPr="001C06FB" w:rsidR="009540A0" w:rsidP="002A2E42" w:rsidRDefault="00875276" w14:paraId="6ABA07FD" w14:textId="6AEA1A62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联盟的合作领域包括人才培养、科学研究、协同创新、社会服务等各方面，联盟的合作内容包括但不限于以上领域。</w:t>
      </w:r>
    </w:p>
    <w:p w:rsidRPr="001C06FB" w:rsidR="00C72ECB" w:rsidP="002A2E42" w:rsidRDefault="00C72ECB" w14:paraId="6C4B299E" w14:textId="77777777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</w:p>
    <w:p w:rsidRPr="001C06FB" w:rsidR="00760BBF" w:rsidP="001B446D" w:rsidRDefault="00875276" w14:paraId="7DD17423" w14:textId="20D74E5E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合作方式</w:t>
      </w:r>
    </w:p>
    <w:p w:rsidRPr="001C06FB" w:rsidR="003D6B71" w:rsidP="002A2E42" w:rsidRDefault="00875276" w14:paraId="67614CE3" w14:textId="600B5FB1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HK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lastRenderedPageBreak/>
        <w:t>联盟鼓励成员之间开展多种方式的合作，联盟部分成员之间可以签订双边或多边合作协议。</w:t>
      </w:r>
    </w:p>
    <w:p w:rsidRPr="001C06FB" w:rsidR="00931DDD" w:rsidP="002A2E42" w:rsidRDefault="00931DDD" w14:paraId="739E48B1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1B446D" w:rsidP="002A2E42" w:rsidRDefault="001B446D" w14:paraId="08984B44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7A48C6" w:rsidP="002A2E42" w:rsidRDefault="00875276" w14:paraId="77179745" w14:textId="0376824D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联盟成员权利及义务</w:t>
      </w:r>
    </w:p>
    <w:p w:rsidRPr="001C06FB" w:rsidR="002E283D" w:rsidP="002E283D" w:rsidRDefault="002E283D" w14:paraId="59A80039" w14:textId="77777777">
      <w:pPr>
        <w:pStyle w:val="ListParagraph"/>
        <w:adjustRightInd w:val="0"/>
        <w:snapToGrid w:val="0"/>
        <w:spacing w:before="60" w:after="0" w:line="264" w:lineRule="auto"/>
        <w:ind w:left="1080"/>
        <w:contextualSpacing w:val="0"/>
        <w:rPr>
          <w:rFonts w:ascii="DFKai-SB" w:hAnsi="DFKai-SB" w:eastAsia="DFKai-SB" w:cs="Times New Roman"/>
          <w:b/>
          <w:sz w:val="26"/>
          <w:szCs w:val="26"/>
          <w:lang w:val="pt-PT"/>
        </w:rPr>
      </w:pPr>
    </w:p>
    <w:p w:rsidRPr="001C06FB" w:rsidR="00760BBF" w:rsidP="001B446D" w:rsidRDefault="00875276" w14:paraId="5F131D70" w14:textId="3F650F6F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成员权利</w:t>
      </w:r>
    </w:p>
    <w:p w:rsidRPr="001C06FB" w:rsidR="00970C05" w:rsidP="002A2E42" w:rsidRDefault="00875276" w14:paraId="1693D55F" w14:textId="7819693E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HK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联盟成员享有下列基本权利：监督和质询联盟的工作，对联盟的工作提出意见与建议；参与联盟的各项重大事务、交流、培训及日常活动；自愿加入、自由退出联盟；其他符合联盟章程规定的权利。</w:t>
      </w:r>
    </w:p>
    <w:p w:rsidRPr="001C06FB" w:rsidR="00B72D5C" w:rsidP="002A2E42" w:rsidRDefault="00B72D5C" w14:paraId="71204477" w14:textId="77777777">
      <w:pPr>
        <w:adjustRightInd w:val="0"/>
        <w:snapToGrid w:val="0"/>
        <w:spacing w:before="60" w:after="0" w:line="264" w:lineRule="auto"/>
        <w:ind w:firstLine="63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DB2EE4" w:rsidP="001B446D" w:rsidRDefault="00875276" w14:paraId="01C8C599" w14:textId="24D31A0C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成员义务</w:t>
      </w:r>
    </w:p>
    <w:p w:rsidRPr="001C06FB" w:rsidR="003B6795" w:rsidP="002A2E42" w:rsidRDefault="00875276" w14:paraId="3A63CB68" w14:textId="6A91CFD4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成员应履行下列基本义务：遵守联盟章程，维护联盟的合法权益；执行理事会的决议；积极鼓励联盟成员之间的合作及共同申请经费；主动配合联盟工作，保证联盟工作的顺利开展。联盟成员不得侵害其他联盟成员或者联盟的权益或者名誉。未经权利方允许，任何联盟成员均不得擅自使用其他联盟成员或者联盟的名称、商标或标识等。</w:t>
      </w:r>
    </w:p>
    <w:p w:rsidRPr="001C06FB" w:rsidR="009540A0" w:rsidP="002A2E42" w:rsidRDefault="009540A0" w14:paraId="2BFC8BA7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9540A0" w:rsidP="002A2E42" w:rsidRDefault="00875276" w14:paraId="12865A44" w14:textId="61A35C80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加入与退出</w:t>
      </w:r>
    </w:p>
    <w:p w:rsidRPr="001C06FB" w:rsidR="001B446D" w:rsidP="00B30F6A" w:rsidRDefault="001B446D" w14:paraId="558C1278" w14:textId="77777777">
      <w:pPr>
        <w:adjustRightInd w:val="0"/>
        <w:snapToGrid w:val="0"/>
        <w:spacing w:before="60" w:after="0" w:line="264" w:lineRule="auto"/>
        <w:jc w:val="center"/>
        <w:rPr>
          <w:rFonts w:ascii="DFKai-SB" w:hAnsi="DFKai-SB" w:eastAsia="DFKai-SB" w:cs="Times New Roman"/>
          <w:b/>
          <w:sz w:val="26"/>
          <w:szCs w:val="26"/>
          <w:lang w:eastAsia="zh-CN"/>
        </w:rPr>
      </w:pPr>
    </w:p>
    <w:p w:rsidRPr="001C06FB" w:rsidR="00760BBF" w:rsidP="001B446D" w:rsidRDefault="00875276" w14:paraId="474198F3" w14:textId="1F3E7DBA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加入机制</w:t>
      </w:r>
    </w:p>
    <w:p w:rsidRPr="001C06FB" w:rsidR="00911EEB" w:rsidP="002A2E42" w:rsidRDefault="00875276" w14:paraId="6E122B26" w14:textId="6FFC3BBB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/>
          <w:sz w:val="26"/>
          <w:szCs w:val="26"/>
          <w:lang w:eastAsia="zh-CN"/>
        </w:rPr>
        <w:t>非联盟成员单位由联盟成员邀请或推荐，经联盟理事会同意后方可加入联盟。</w:t>
      </w:r>
    </w:p>
    <w:p w:rsidRPr="001C06FB" w:rsidR="00FC78EF" w:rsidP="002A2E42" w:rsidRDefault="00FC78EF" w14:paraId="36246708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DB2EE4" w:rsidP="001B446D" w:rsidRDefault="00875276" w14:paraId="2AA17BF9" w14:textId="36C4B080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退出机制</w:t>
      </w:r>
    </w:p>
    <w:p w:rsidRPr="001C06FB" w:rsidR="00556238" w:rsidP="002A2E42" w:rsidRDefault="00875276" w14:paraId="7A79167F" w14:textId="2CD9DE44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联盟成员至少提前六十天以书面方式通知理事会后，可退出本联盟，退出的联盟成员须确保在退出前已完成其有关义务。联盟成员有违反本章程的行为或不履行成员义务的，经理事会表决通过后，可劝其退出联盟。</w:t>
      </w:r>
    </w:p>
    <w:p w:rsidRPr="001C06FB" w:rsidR="001B446D" w:rsidP="002A2E42" w:rsidRDefault="001B446D" w14:paraId="79AD6A38" w14:textId="77777777">
      <w:pPr>
        <w:adjustRightInd w:val="0"/>
        <w:snapToGrid w:val="0"/>
        <w:spacing w:before="60" w:after="0" w:line="264" w:lineRule="auto"/>
        <w:rPr>
          <w:rFonts w:ascii="DFKai-SB" w:hAnsi="DFKai-SB" w:eastAsia="DFKai-SB" w:cs="Times New Roman"/>
          <w:b/>
          <w:sz w:val="26"/>
          <w:szCs w:val="26"/>
          <w:lang w:val="pt-PT" w:eastAsia="zh-HK"/>
        </w:rPr>
      </w:pPr>
    </w:p>
    <w:p w:rsidRPr="001C06FB" w:rsidR="009540A0" w:rsidP="002A2E42" w:rsidRDefault="00875276" w14:paraId="6325D873" w14:textId="0F75FBBB">
      <w:pPr>
        <w:pStyle w:val="ListParagraph"/>
        <w:numPr>
          <w:ilvl w:val="0"/>
          <w:numId w:val="1"/>
        </w:numPr>
        <w:adjustRightInd w:val="0"/>
        <w:snapToGrid w:val="0"/>
        <w:spacing w:before="60" w:after="0" w:line="264" w:lineRule="auto"/>
        <w:contextualSpacing w:val="0"/>
        <w:jc w:val="center"/>
        <w:rPr>
          <w:rFonts w:ascii="DFKai-SB" w:hAnsi="DFKai-SB" w:eastAsia="DFKai-SB" w:cs="Times New Roman"/>
          <w:b/>
          <w:sz w:val="26"/>
          <w:szCs w:val="26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附则</w:t>
      </w:r>
    </w:p>
    <w:p w:rsidRPr="001C06FB" w:rsidR="00620892" w:rsidP="002A2E42" w:rsidRDefault="00620892" w14:paraId="3468B008" w14:textId="77777777">
      <w:pPr>
        <w:adjustRightInd w:val="0"/>
        <w:snapToGrid w:val="0"/>
        <w:spacing w:before="60" w:after="0" w:line="264" w:lineRule="auto"/>
        <w:jc w:val="center"/>
        <w:rPr>
          <w:rFonts w:ascii="DFKai-SB" w:hAnsi="DFKai-SB" w:eastAsia="DFKai-SB" w:cs="Times New Roman"/>
          <w:b/>
          <w:sz w:val="26"/>
          <w:szCs w:val="26"/>
          <w:lang w:eastAsia="zh-HK"/>
        </w:rPr>
      </w:pPr>
    </w:p>
    <w:p w:rsidRPr="001C06FB" w:rsidR="00DB2EE4" w:rsidP="001B446D" w:rsidRDefault="00875276" w14:paraId="467F198E" w14:textId="0ACCCD99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lastRenderedPageBreak/>
        <w:t>约束力</w:t>
      </w:r>
    </w:p>
    <w:p w:rsidRPr="001C06FB" w:rsidR="009540A0" w:rsidP="002A2E42" w:rsidRDefault="00875276" w14:paraId="626C3DDF" w14:textId="65623CB6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本章程经理事会审议通过后生效，并需向全体联盟成员公布，对所有联盟成员具有同等约束力。</w:t>
      </w:r>
    </w:p>
    <w:p w:rsidRPr="001C06FB" w:rsidR="002E283D" w:rsidP="002E283D" w:rsidRDefault="002E283D" w14:paraId="14B96129" w14:textId="77777777">
      <w:pPr>
        <w:adjustRightInd w:val="0"/>
        <w:snapToGrid w:val="0"/>
        <w:spacing w:before="60" w:after="0" w:line="264" w:lineRule="auto"/>
        <w:ind w:firstLine="54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DB2EE4" w:rsidP="001B446D" w:rsidRDefault="00875276" w14:paraId="6C1D911C" w14:textId="524A61FC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章程修改</w:t>
      </w:r>
    </w:p>
    <w:p w:rsidRPr="001C06FB" w:rsidR="009540A0" w:rsidP="002A2E42" w:rsidRDefault="00875276" w14:paraId="0FD36AEF" w14:textId="6651084E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本章程未尽事宜或有关条款的修改，由联盟秘书处提出补充或修改意见，报联盟理事会审议通过后生效。</w:t>
      </w:r>
    </w:p>
    <w:p w:rsidRPr="001C06FB" w:rsidR="00B72D5C" w:rsidP="002A2E42" w:rsidRDefault="00B72D5C" w14:paraId="7F42E3DC" w14:textId="77777777">
      <w:pPr>
        <w:adjustRightInd w:val="0"/>
        <w:snapToGrid w:val="0"/>
        <w:spacing w:before="60" w:after="0" w:line="264" w:lineRule="auto"/>
        <w:ind w:firstLine="540"/>
        <w:rPr>
          <w:rFonts w:ascii="DFKai-SB" w:hAnsi="DFKai-SB" w:eastAsia="DFKai-SB" w:cs="Times New Roman"/>
          <w:sz w:val="26"/>
          <w:szCs w:val="26"/>
          <w:lang w:val="pt-PT" w:eastAsia="zh-HK"/>
        </w:rPr>
      </w:pPr>
    </w:p>
    <w:p w:rsidRPr="001C06FB" w:rsidR="00DB2EE4" w:rsidP="001B446D" w:rsidRDefault="00875276" w14:paraId="4A49D3D6" w14:textId="3B6AD2B4">
      <w:pPr>
        <w:pStyle w:val="ListParagraph"/>
        <w:numPr>
          <w:ilvl w:val="0"/>
          <w:numId w:val="2"/>
        </w:numPr>
        <w:adjustRightInd w:val="0"/>
        <w:snapToGrid w:val="0"/>
        <w:spacing w:before="120" w:after="0" w:line="264" w:lineRule="auto"/>
        <w:ind w:left="1389" w:hanging="1400"/>
        <w:contextualSpacing w:val="0"/>
        <w:rPr>
          <w:rFonts w:ascii="DFKai-SB" w:hAnsi="DFKai-SB" w:eastAsia="DFKai-SB" w:cs="Times New Roman"/>
          <w:b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b/>
          <w:sz w:val="26"/>
          <w:szCs w:val="26"/>
          <w:lang w:eastAsia="zh-CN"/>
        </w:rPr>
        <w:t>解释权</w:t>
      </w:r>
    </w:p>
    <w:p w:rsidRPr="001C06FB" w:rsidR="009540A0" w:rsidP="002A2E42" w:rsidRDefault="00875276" w14:paraId="497373EB" w14:textId="15B0DC1F">
      <w:pPr>
        <w:adjustRightInd w:val="0"/>
        <w:snapToGrid w:val="0"/>
        <w:spacing w:before="60" w:after="0" w:line="264" w:lineRule="auto"/>
        <w:jc w:val="both"/>
        <w:rPr>
          <w:rFonts w:ascii="DFKai-SB" w:hAnsi="DFKai-SB" w:eastAsia="DFKai-SB" w:cs="Times New Roman"/>
          <w:sz w:val="26"/>
          <w:szCs w:val="26"/>
          <w:lang w:eastAsia="zh-CN"/>
        </w:rPr>
      </w:pPr>
      <w:r w:rsidRPr="001C06FB">
        <w:rPr>
          <w:rFonts w:hint="eastAsia" w:ascii="DFKai-SB" w:hAnsi="DFKai-SB" w:eastAsia="DFKai-SB" w:cs="Times New Roman"/>
          <w:sz w:val="26"/>
          <w:szCs w:val="26"/>
          <w:lang w:eastAsia="zh-CN"/>
        </w:rPr>
        <w:t>本章程的解释权归联盟理事会所有。</w:t>
      </w:r>
    </w:p>
    <w:p w:rsidRPr="001C06FB" w:rsidR="002E72FB" w:rsidP="002A2E42" w:rsidRDefault="002E72FB" w14:paraId="5D3DC698" w14:textId="77777777">
      <w:pPr>
        <w:adjustRightInd w:val="0"/>
        <w:snapToGrid w:val="0"/>
        <w:spacing w:before="60" w:after="0" w:line="264" w:lineRule="auto"/>
        <w:ind w:firstLine="540"/>
        <w:jc w:val="both"/>
        <w:rPr>
          <w:rFonts w:ascii="DFKai-SB" w:hAnsi="DFKai-SB" w:eastAsia="DFKai-SB" w:cs="Times New Roman"/>
          <w:sz w:val="26"/>
          <w:szCs w:val="26"/>
          <w:lang w:val="pt-PT" w:eastAsia="zh-CN"/>
        </w:rPr>
      </w:pPr>
    </w:p>
    <w:p w:rsidRPr="001C06FB" w:rsidR="002E72FB" w:rsidP="002A2E42" w:rsidRDefault="002E72FB" w14:paraId="25F89D72" w14:textId="77777777">
      <w:pPr>
        <w:adjustRightInd w:val="0"/>
        <w:snapToGrid w:val="0"/>
        <w:spacing w:before="60" w:after="0" w:line="264" w:lineRule="auto"/>
        <w:ind w:firstLine="540"/>
        <w:jc w:val="both"/>
        <w:rPr>
          <w:rFonts w:ascii="DFKai-SB" w:hAnsi="DFKai-SB" w:eastAsia="DFKai-SB" w:cs="Times New Roman"/>
          <w:sz w:val="26"/>
          <w:szCs w:val="26"/>
          <w:lang w:val="pt-PT" w:eastAsia="zh-CN"/>
        </w:rPr>
      </w:pPr>
    </w:p>
    <w:p w:rsidRPr="001C06FB" w:rsidR="002E72FB" w:rsidP="002A2E42" w:rsidRDefault="002E72FB" w14:paraId="4DBCEB4A" w14:textId="4478587E">
      <w:pPr>
        <w:adjustRightInd w:val="0"/>
        <w:snapToGrid w:val="0"/>
        <w:spacing w:before="60" w:after="0" w:line="264" w:lineRule="auto"/>
        <w:ind w:firstLine="540"/>
        <w:jc w:val="right"/>
        <w:rPr>
          <w:rFonts w:ascii="DFKai-SB" w:hAnsi="DFKai-SB" w:eastAsia="DFKai-SB" w:cs="Times New Roman"/>
          <w:sz w:val="26"/>
          <w:szCs w:val="26"/>
          <w:lang w:val="pt-PT" w:eastAsia="zh-CN"/>
        </w:rPr>
      </w:pPr>
      <w:r w:rsidRPr="6D623ED6" w:rsidR="6D623ED6">
        <w:rPr>
          <w:rFonts w:ascii="DFKai-SB" w:hAnsi="DFKai-SB" w:eastAsia="DFKai-SB" w:cs="Times New Roman"/>
          <w:sz w:val="26"/>
          <w:szCs w:val="26"/>
          <w:lang w:val="pt-PT" w:eastAsia="zh-CN"/>
        </w:rPr>
        <w:t>2022</w:t>
      </w:r>
      <w:r w:rsidRPr="6D623ED6" w:rsidR="6D623ED6">
        <w:rPr>
          <w:rFonts w:ascii="DFKai-SB" w:hAnsi="DFKai-SB" w:eastAsia="DFKai-SB" w:cs="Times New Roman"/>
          <w:sz w:val="26"/>
          <w:szCs w:val="26"/>
          <w:lang w:eastAsia="zh-CN"/>
        </w:rPr>
        <w:t>年</w:t>
      </w:r>
      <w:r w:rsidRPr="6D623ED6" w:rsidR="6D623ED6">
        <w:rPr>
          <w:rFonts w:ascii="DFKai-SB" w:hAnsi="DFKai-SB" w:eastAsia="DFKai-SB" w:cs="Times New Roman"/>
          <w:sz w:val="26"/>
          <w:szCs w:val="26"/>
          <w:lang w:val="pt-PT" w:eastAsia="zh-CN"/>
        </w:rPr>
        <w:t>10</w:t>
      </w:r>
      <w:r w:rsidRPr="6D623ED6" w:rsidR="6D623ED6">
        <w:rPr>
          <w:rFonts w:ascii="DFKai-SB" w:hAnsi="DFKai-SB" w:eastAsia="DFKai-SB" w:cs="Times New Roman"/>
          <w:sz w:val="26"/>
          <w:szCs w:val="26"/>
          <w:lang w:eastAsia="zh-CN"/>
        </w:rPr>
        <w:t>月20日</w:t>
      </w:r>
    </w:p>
    <w:sectPr w:rsidRPr="001C06FB" w:rsidR="002E72FB">
      <w:foot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2B" w:rsidP="008F302A" w:rsidRDefault="00892C2B" w14:paraId="6C30C04F" w14:textId="77777777">
      <w:pPr>
        <w:spacing w:after="0" w:line="240" w:lineRule="auto"/>
      </w:pPr>
      <w:r>
        <w:separator/>
      </w:r>
    </w:p>
  </w:endnote>
  <w:endnote w:type="continuationSeparator" w:id="0">
    <w:p w:rsidR="00892C2B" w:rsidP="008F302A" w:rsidRDefault="00892C2B" w14:paraId="4E48A3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858691"/>
      <w:docPartObj>
        <w:docPartGallery w:val="Page Numbers (Bottom of Page)"/>
        <w:docPartUnique/>
      </w:docPartObj>
    </w:sdtPr>
    <w:sdtEndPr>
      <w:rPr>
        <w:rFonts w:ascii="Times New Roman" w:hAnsi="Times New Roman" w:eastAsia="DFKai-SB" w:cs="Times New Roman"/>
        <w:noProof/>
      </w:rPr>
    </w:sdtEndPr>
    <w:sdtContent>
      <w:p w:rsidRPr="00403644" w:rsidR="00C6553C" w:rsidRDefault="00C6553C" w14:paraId="7F9FF1B1" w14:textId="3A5E789D">
        <w:pPr>
          <w:pStyle w:val="Footer"/>
          <w:jc w:val="center"/>
          <w:rPr>
            <w:rFonts w:ascii="Times New Roman" w:hAnsi="Times New Roman" w:eastAsia="DFKai-SB" w:cs="Times New Roman"/>
          </w:rPr>
        </w:pPr>
        <w:r w:rsidRPr="00403644">
          <w:rPr>
            <w:rFonts w:ascii="Times New Roman" w:hAnsi="Times New Roman" w:eastAsia="DFKai-SB" w:cs="Times New Roman"/>
          </w:rPr>
          <w:fldChar w:fldCharType="begin"/>
        </w:r>
        <w:r w:rsidRPr="00D81E37">
          <w:rPr>
            <w:rFonts w:ascii="Times New Roman" w:hAnsi="Times New Roman" w:eastAsia="DFKai-SB" w:cs="Times New Roman"/>
          </w:rPr>
          <w:instrText xml:space="preserve"> PAGE   \* MERGEFORMAT </w:instrText>
        </w:r>
        <w:r w:rsidRPr="00403644">
          <w:rPr>
            <w:rFonts w:ascii="Times New Roman" w:hAnsi="Times New Roman" w:eastAsia="DFKai-SB" w:cs="Times New Roman"/>
          </w:rPr>
          <w:fldChar w:fldCharType="separate"/>
        </w:r>
        <w:r w:rsidR="009017FF">
          <w:rPr>
            <w:rFonts w:ascii="Times New Roman" w:hAnsi="Times New Roman" w:eastAsia="DFKai-SB" w:cs="Times New Roman"/>
            <w:noProof/>
          </w:rPr>
          <w:t>2</w:t>
        </w:r>
        <w:r w:rsidRPr="00403644">
          <w:rPr>
            <w:rFonts w:ascii="Times New Roman" w:hAnsi="Times New Roman" w:eastAsia="DFKai-SB" w:cs="Times New Roman"/>
            <w:noProof/>
          </w:rPr>
          <w:fldChar w:fldCharType="end"/>
        </w:r>
      </w:p>
    </w:sdtContent>
  </w:sdt>
  <w:p w:rsidR="00C6553C" w:rsidRDefault="00C6553C" w14:paraId="6A1CF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2B" w:rsidP="008F302A" w:rsidRDefault="00892C2B" w14:paraId="1D046649" w14:textId="77777777">
      <w:pPr>
        <w:spacing w:after="0" w:line="240" w:lineRule="auto"/>
      </w:pPr>
      <w:r>
        <w:separator/>
      </w:r>
    </w:p>
  </w:footnote>
  <w:footnote w:type="continuationSeparator" w:id="0">
    <w:p w:rsidR="00892C2B" w:rsidP="008F302A" w:rsidRDefault="00892C2B" w14:paraId="1B5220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7EC7"/>
    <w:multiLevelType w:val="multilevel"/>
    <w:tmpl w:val="CE182186"/>
    <w:lvl w:ilvl="0">
      <w:start w:val="1"/>
      <w:numFmt w:val="taiwaneseCountingThousand"/>
      <w:lvlText w:val="第%1条"/>
      <w:lvlJc w:val="left"/>
      <w:pPr>
        <w:ind w:left="594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6300" w:hanging="360"/>
      </w:pPr>
      <w:rPr>
        <w:rFonts w:hint="default" w:ascii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ind w:left="7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0" w:hanging="1440"/>
      </w:pPr>
      <w:rPr>
        <w:rFonts w:hint="default"/>
      </w:rPr>
    </w:lvl>
  </w:abstractNum>
  <w:abstractNum w:abstractNumId="1" w15:restartNumberingAfterBreak="0">
    <w:nsid w:val="7DAB4F3A"/>
    <w:multiLevelType w:val="hybridMultilevel"/>
    <w:tmpl w:val="FA4A6A50"/>
    <w:lvl w:ilvl="0" w:tplc="21647C66">
      <w:start w:val="1"/>
      <w:numFmt w:val="japaneseCounting"/>
      <w:lvlText w:val="第%1章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DAyMDEzNTAyNTFV0lEKTi0uzszPAykwrAUAbaofviwAAAA="/>
  </w:docVars>
  <w:rsids>
    <w:rsidRoot w:val="009540A0"/>
    <w:rsid w:val="00010015"/>
    <w:rsid w:val="00032717"/>
    <w:rsid w:val="00054D02"/>
    <w:rsid w:val="00061B3C"/>
    <w:rsid w:val="000659B1"/>
    <w:rsid w:val="00073245"/>
    <w:rsid w:val="00076EC3"/>
    <w:rsid w:val="000C3BA4"/>
    <w:rsid w:val="000C45EC"/>
    <w:rsid w:val="000C473D"/>
    <w:rsid w:val="000D5C9E"/>
    <w:rsid w:val="000E35E2"/>
    <w:rsid w:val="00115A20"/>
    <w:rsid w:val="00130C6D"/>
    <w:rsid w:val="001422F1"/>
    <w:rsid w:val="001477DE"/>
    <w:rsid w:val="00157337"/>
    <w:rsid w:val="001761BF"/>
    <w:rsid w:val="0019096B"/>
    <w:rsid w:val="001B1D3C"/>
    <w:rsid w:val="001B446D"/>
    <w:rsid w:val="001C06FB"/>
    <w:rsid w:val="001C2C3D"/>
    <w:rsid w:val="001C3479"/>
    <w:rsid w:val="001C4FAB"/>
    <w:rsid w:val="001D27F3"/>
    <w:rsid w:val="001E3C06"/>
    <w:rsid w:val="001F1667"/>
    <w:rsid w:val="002174EA"/>
    <w:rsid w:val="002236A7"/>
    <w:rsid w:val="00224EE9"/>
    <w:rsid w:val="00232ED8"/>
    <w:rsid w:val="002A0E89"/>
    <w:rsid w:val="002A2E42"/>
    <w:rsid w:val="002E283D"/>
    <w:rsid w:val="002E72FB"/>
    <w:rsid w:val="002F2297"/>
    <w:rsid w:val="002F419C"/>
    <w:rsid w:val="002F41B2"/>
    <w:rsid w:val="002F41E6"/>
    <w:rsid w:val="00316E8B"/>
    <w:rsid w:val="00360039"/>
    <w:rsid w:val="00365B3E"/>
    <w:rsid w:val="00392F53"/>
    <w:rsid w:val="003B6795"/>
    <w:rsid w:val="003C5C9A"/>
    <w:rsid w:val="003D1BA7"/>
    <w:rsid w:val="003D6B71"/>
    <w:rsid w:val="003E6E41"/>
    <w:rsid w:val="004029B4"/>
    <w:rsid w:val="00403644"/>
    <w:rsid w:val="00432D6F"/>
    <w:rsid w:val="00441B32"/>
    <w:rsid w:val="004E56C3"/>
    <w:rsid w:val="00505F42"/>
    <w:rsid w:val="0052515E"/>
    <w:rsid w:val="00556238"/>
    <w:rsid w:val="00560022"/>
    <w:rsid w:val="005B3BCB"/>
    <w:rsid w:val="005B5AA7"/>
    <w:rsid w:val="005B75D5"/>
    <w:rsid w:val="005B7A81"/>
    <w:rsid w:val="005D4038"/>
    <w:rsid w:val="005F7AF9"/>
    <w:rsid w:val="00620892"/>
    <w:rsid w:val="00622BC7"/>
    <w:rsid w:val="00635776"/>
    <w:rsid w:val="00637CB7"/>
    <w:rsid w:val="00653F93"/>
    <w:rsid w:val="00662F91"/>
    <w:rsid w:val="00674600"/>
    <w:rsid w:val="00676FD9"/>
    <w:rsid w:val="006B2757"/>
    <w:rsid w:val="006C0CEA"/>
    <w:rsid w:val="006D0070"/>
    <w:rsid w:val="00706176"/>
    <w:rsid w:val="00713DF9"/>
    <w:rsid w:val="00726579"/>
    <w:rsid w:val="00743B7A"/>
    <w:rsid w:val="0074498A"/>
    <w:rsid w:val="00754204"/>
    <w:rsid w:val="007579B6"/>
    <w:rsid w:val="00760BBF"/>
    <w:rsid w:val="00777699"/>
    <w:rsid w:val="007A48C6"/>
    <w:rsid w:val="007B371F"/>
    <w:rsid w:val="007C2799"/>
    <w:rsid w:val="007C5D4E"/>
    <w:rsid w:val="007D08EC"/>
    <w:rsid w:val="007D7D5C"/>
    <w:rsid w:val="00810636"/>
    <w:rsid w:val="00811E97"/>
    <w:rsid w:val="00814B66"/>
    <w:rsid w:val="008151A1"/>
    <w:rsid w:val="008225D3"/>
    <w:rsid w:val="00824CE2"/>
    <w:rsid w:val="008270EF"/>
    <w:rsid w:val="008274C6"/>
    <w:rsid w:val="008355D3"/>
    <w:rsid w:val="00872079"/>
    <w:rsid w:val="00875276"/>
    <w:rsid w:val="008762C2"/>
    <w:rsid w:val="00892C2B"/>
    <w:rsid w:val="00894A9E"/>
    <w:rsid w:val="008B5C04"/>
    <w:rsid w:val="008D4CA5"/>
    <w:rsid w:val="008E4EE4"/>
    <w:rsid w:val="008F302A"/>
    <w:rsid w:val="008F74AA"/>
    <w:rsid w:val="009017FF"/>
    <w:rsid w:val="00911EEB"/>
    <w:rsid w:val="009226D9"/>
    <w:rsid w:val="00924148"/>
    <w:rsid w:val="00931DDD"/>
    <w:rsid w:val="00933E8C"/>
    <w:rsid w:val="00946099"/>
    <w:rsid w:val="009473CD"/>
    <w:rsid w:val="009540A0"/>
    <w:rsid w:val="00965DC4"/>
    <w:rsid w:val="00970C05"/>
    <w:rsid w:val="00972AC6"/>
    <w:rsid w:val="009A1377"/>
    <w:rsid w:val="009B1F0E"/>
    <w:rsid w:val="009C65BE"/>
    <w:rsid w:val="009D228A"/>
    <w:rsid w:val="009D2714"/>
    <w:rsid w:val="009D747C"/>
    <w:rsid w:val="009E6EE1"/>
    <w:rsid w:val="009F4AF8"/>
    <w:rsid w:val="00A05374"/>
    <w:rsid w:val="00A25C07"/>
    <w:rsid w:val="00A30C0F"/>
    <w:rsid w:val="00A357DF"/>
    <w:rsid w:val="00A52BE1"/>
    <w:rsid w:val="00A532CA"/>
    <w:rsid w:val="00A57A8B"/>
    <w:rsid w:val="00A76F38"/>
    <w:rsid w:val="00AA32EE"/>
    <w:rsid w:val="00AE6A9E"/>
    <w:rsid w:val="00AF6421"/>
    <w:rsid w:val="00B30F6A"/>
    <w:rsid w:val="00B3702E"/>
    <w:rsid w:val="00B40251"/>
    <w:rsid w:val="00B4223A"/>
    <w:rsid w:val="00B509ED"/>
    <w:rsid w:val="00B72D5C"/>
    <w:rsid w:val="00B82AEE"/>
    <w:rsid w:val="00B9092D"/>
    <w:rsid w:val="00BB3EE9"/>
    <w:rsid w:val="00BC2A03"/>
    <w:rsid w:val="00BF3AD1"/>
    <w:rsid w:val="00C13974"/>
    <w:rsid w:val="00C22AC6"/>
    <w:rsid w:val="00C567DF"/>
    <w:rsid w:val="00C6553C"/>
    <w:rsid w:val="00C6626F"/>
    <w:rsid w:val="00C72ECB"/>
    <w:rsid w:val="00C82379"/>
    <w:rsid w:val="00C833F6"/>
    <w:rsid w:val="00C932F2"/>
    <w:rsid w:val="00CA095E"/>
    <w:rsid w:val="00CA2247"/>
    <w:rsid w:val="00CA5F61"/>
    <w:rsid w:val="00CA653A"/>
    <w:rsid w:val="00CB7279"/>
    <w:rsid w:val="00CB7DD8"/>
    <w:rsid w:val="00CC375B"/>
    <w:rsid w:val="00CD0127"/>
    <w:rsid w:val="00D01B15"/>
    <w:rsid w:val="00D10FA0"/>
    <w:rsid w:val="00D43D0A"/>
    <w:rsid w:val="00D456DA"/>
    <w:rsid w:val="00D47082"/>
    <w:rsid w:val="00D60E96"/>
    <w:rsid w:val="00D81E37"/>
    <w:rsid w:val="00D956AC"/>
    <w:rsid w:val="00DB2EE4"/>
    <w:rsid w:val="00DB65EA"/>
    <w:rsid w:val="00DB7207"/>
    <w:rsid w:val="00DE404A"/>
    <w:rsid w:val="00DF4B12"/>
    <w:rsid w:val="00E12AEB"/>
    <w:rsid w:val="00E16904"/>
    <w:rsid w:val="00E337A2"/>
    <w:rsid w:val="00E3395B"/>
    <w:rsid w:val="00E37717"/>
    <w:rsid w:val="00E41C78"/>
    <w:rsid w:val="00EA0341"/>
    <w:rsid w:val="00ED46D1"/>
    <w:rsid w:val="00EE004F"/>
    <w:rsid w:val="00F0613A"/>
    <w:rsid w:val="00F0710A"/>
    <w:rsid w:val="00F212C1"/>
    <w:rsid w:val="00F22A69"/>
    <w:rsid w:val="00F3796F"/>
    <w:rsid w:val="00F41102"/>
    <w:rsid w:val="00FC26AF"/>
    <w:rsid w:val="00FC78EF"/>
    <w:rsid w:val="00FC7A8A"/>
    <w:rsid w:val="00FD40D2"/>
    <w:rsid w:val="6D6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6DCBF"/>
  <w15:chartTrackingRefBased/>
  <w15:docId w15:val="{3D7C1749-9702-496D-99C9-891CF7C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02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02A"/>
  </w:style>
  <w:style w:type="paragraph" w:styleId="Footer">
    <w:name w:val="footer"/>
    <w:basedOn w:val="Normal"/>
    <w:link w:val="FooterChar"/>
    <w:uiPriority w:val="99"/>
    <w:unhideWhenUsed/>
    <w:rsid w:val="008F302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02A"/>
  </w:style>
  <w:style w:type="paragraph" w:styleId="ListParagraph">
    <w:name w:val="List Paragraph"/>
    <w:basedOn w:val="Normal"/>
    <w:uiPriority w:val="34"/>
    <w:qFormat/>
    <w:rsid w:val="0019096B"/>
    <w:pPr>
      <w:ind w:left="720"/>
      <w:contextualSpacing/>
    </w:pPr>
  </w:style>
  <w:style w:type="character" w:styleId="fontstyle01" w:customStyle="1">
    <w:name w:val="fontstyle01"/>
    <w:basedOn w:val="DefaultParagraphFont"/>
    <w:rsid w:val="00946099"/>
    <w:rPr>
      <w:rFonts w:hint="eastAsia" w:ascii="SimSun" w:hAnsi="SimSun" w:eastAsia="SimSun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78E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A8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B7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A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3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3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36A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40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1" w:customStyle="1">
    <w:name w:val="fontstyle11"/>
    <w:basedOn w:val="DefaultParagraphFont"/>
    <w:rsid w:val="007B371F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8897-A5B5-48AD-8783-7C90101A1A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tessalai</dc:creator>
  <keywords/>
  <dc:description/>
  <lastModifiedBy>Joseph Cheang</lastModifiedBy>
  <revision>3</revision>
  <lastPrinted>2021-04-22T08:05:00.0000000Z</lastPrinted>
  <dcterms:created xsi:type="dcterms:W3CDTF">2022-06-14T03:46:00.0000000Z</dcterms:created>
  <dcterms:modified xsi:type="dcterms:W3CDTF">2024-07-09T11:19:25.8071804Z</dcterms:modified>
</coreProperties>
</file>